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200"/>
        <w:jc w:val="center"/>
      </w:pPr>
      <w:r>
        <w:drawing>
          <wp:inline distT="0" distB="0" distL="0" distR="0">
            <wp:extent cx="1047750"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0" cy="10477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0"/>
          <w:szCs w:val="40"/>
        </w:rPr>
        <w:t xml:space="preserve">Prevent Duty Policy</w:t>
      </w:r>
    </w:p>
    <w:p>
      <w:pPr>
        <w:spacing w:after="320"/>
        <w:jc w:val="center"/>
      </w:pPr>
      <w:r>
        <w:rPr>
          <w:rFonts w:ascii="Arial" w:cs="Arial" w:eastAsia="Arial" w:hAnsi="Arial"/>
          <w:i/>
          <w:iCs/>
          <w:color w:val="444444"/>
          <w:sz w:val="21"/>
          <w:szCs w:val="21"/>
        </w:rPr>
        <w:t xml:space="preserve">Princess May Primary School's approach to the Prevent duty — 2026–2027</w:t>
      </w:r>
    </w:p>
    <w:tbl>
      <w:tblPr>
        <w:tblW w:type="dxa" w:w="9400"/>
        <w:tblBorders>
          <w:top w:val="single" w:color="auto" w:sz="4"/>
          <w:left w:val="single" w:color="auto" w:sz="4"/>
          <w:bottom w:val="single" w:color="auto" w:sz="4"/>
          <w:right w:val="single" w:color="auto" w:sz="4"/>
          <w:insideH w:val="single" w:color="auto" w:sz="4"/>
          <w:insideV w:val="single" w:color="auto" w:sz="4"/>
        </w:tblBorders>
      </w:tblPr>
      <w:tblGrid>
        <w:gridCol w:w="2900"/>
        <w:gridCol w:w="6500"/>
      </w:tblGrid>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Governing Body
Representative (GBR)</w:t>
            </w:r>
          </w:p>
        </w:tc>
        <w:tc>
          <w:tcPr>
            <w:tcW w:type="dxa" w:w="6500"/>
            <w:shd w:fill="FBF3CE" w:val="clear"/>
            <w:tcMar>
              <w:top w:type="dxa" w:w="100"/>
              <w:left w:type="dxa" w:w="120"/>
              <w:bottom w:type="dxa" w:w="100"/>
              <w:right w:type="dxa" w:w="120"/>
            </w:tcMar>
            <w:vAlign w:val="center"/>
          </w:tcPr>
          <w:p>
            <w:r>
              <w:rPr>
                <w:rFonts w:ascii="Arial" w:cs="Arial" w:eastAsia="Arial" w:hAnsi="Arial"/>
                <w:sz w:val="20"/>
                <w:szCs w:val="20"/>
              </w:rPr>
              <w:t xml:space="preserve">Kristofer McGhee (Chair of Governors)</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Signed by (GBR)</w:t>
            </w:r>
          </w:p>
        </w:tc>
        <w:tc>
          <w:tcPr>
            <w:tcW w:type="dxa" w:w="6500"/>
            <w:shd w:fill="FFFFFF" w:val="clear"/>
            <w:tcMar>
              <w:top w:type="dxa" w:w="100"/>
              <w:left w:type="dxa" w:w="120"/>
              <w:bottom w:type="dxa" w:w="100"/>
              <w:right w:type="dxa" w:w="120"/>
            </w:tcMar>
            <w:vAlign w:val="center"/>
          </w:tcPr>
          <w:p>
            <w:r>
              <w:rPr>
                <w:rFonts w:ascii="Arial" w:cs="Arial" w:eastAsia="Arial" w:hAnsi="Arial"/>
                <w:sz w:val="20"/>
                <w:szCs w:val="20"/>
              </w:rPr>
            </w:r>
            <w:r>
              <w:drawing>
                <wp:inline xmlns:a="http://schemas.openxmlformats.org/drawingml/2006/main" xmlns:pic="http://schemas.openxmlformats.org/drawingml/2006/picture">
                  <wp:extent cx="1619996" cy="320040"/>
                  <wp:docPr id="2" name="Picture 2"/>
                  <wp:cNvGraphicFramePr>
                    <a:graphicFrameLocks noChangeAspect="1"/>
                  </wp:cNvGraphicFramePr>
                  <a:graphic>
                    <a:graphicData uri="http://schemas.openxmlformats.org/drawingml/2006/picture">
                      <pic:pic>
                        <pic:nvPicPr>
                          <pic:cNvPr id="0" name="signature_final.png"/>
                          <pic:cNvPicPr/>
                        </pic:nvPicPr>
                        <pic:blipFill>
                          <a:blip r:embed="rId9"/>
                          <a:stretch>
                            <a:fillRect/>
                          </a:stretch>
                        </pic:blipFill>
                        <pic:spPr>
                          <a:xfrm>
                            <a:off x="0" y="0"/>
                            <a:ext cx="1619996" cy="320040"/>
                          </a:xfrm>
                          <a:prstGeom prst="rect"/>
                        </pic:spPr>
                      </pic:pic>
                    </a:graphicData>
                  </a:graphic>
                </wp:inline>
              </w:drawing>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Date approved</w:t>
            </w:r>
          </w:p>
        </w:tc>
        <w:tc>
          <w:tcPr>
            <w:tcW w:type="dxa" w:w="6500"/>
            <w:shd w:fill="F2F2F2" w:val="clear"/>
            <w:tcMar>
              <w:top w:type="dxa" w:w="100"/>
              <w:left w:type="dxa" w:w="120"/>
              <w:bottom w:type="dxa" w:w="100"/>
              <w:right w:type="dxa" w:w="120"/>
            </w:tcMar>
            <w:vAlign w:val="center"/>
          </w:tcPr>
          <w:p>
            <w:r>
              <w:rPr>
                <w:rFonts w:ascii="Arial" w:cs="Arial" w:eastAsia="Arial" w:hAnsi="Arial"/>
                <w:sz w:val="20"/>
                <w:szCs w:val="20"/>
              </w:rPr>
              <w:t>4 September 2026</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Next review due by</w:t>
            </w:r>
          </w:p>
        </w:tc>
        <w:tc>
          <w:tcPr>
            <w:tcW w:type="dxa" w:w="6500"/>
            <w:shd w:fill="FFFFFF" w:val="clear"/>
            <w:tcMar>
              <w:top w:type="dxa" w:w="100"/>
              <w:left w:type="dxa" w:w="120"/>
              <w:bottom w:type="dxa" w:w="100"/>
              <w:right w:type="dxa" w:w="120"/>
            </w:tcMar>
            <w:vAlign w:val="center"/>
          </w:tcPr>
          <w:p>
            <w:r>
              <w:rPr>
                <w:rFonts w:ascii="Arial" w:cs="Arial" w:eastAsia="Arial" w:hAnsi="Arial"/>
                <w:sz w:val="20"/>
                <w:szCs w:val="20"/>
              </w:rPr>
              <w:t xml:space="preserve">September 2027</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Related policies</w:t>
            </w:r>
          </w:p>
        </w:tc>
        <w:tc>
          <w:tcPr>
            <w:tcW w:type="dxa" w:w="6500"/>
            <w:shd w:fill="F2F2F2" w:val="clear"/>
            <w:tcMar>
              <w:top w:type="dxa" w:w="100"/>
              <w:left w:type="dxa" w:w="120"/>
              <w:bottom w:type="dxa" w:w="100"/>
              <w:right w:type="dxa" w:w="120"/>
            </w:tcMar>
            <w:vAlign w:val="center"/>
          </w:tcPr>
          <w:p>
            <w:r>
              <w:rPr>
                <w:rFonts w:ascii="Arial" w:cs="Arial" w:eastAsia="Arial" w:hAnsi="Arial"/>
                <w:sz w:val="20"/>
                <w:szCs w:val="20"/>
              </w:rPr>
              <w:t xml:space="preserve">Safeguarding and Child Protection Policy; Behaviour Policy; Anti-Bullying Policy; Online Safety Policy; Equality Policy</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Aligned to</w:t>
            </w:r>
          </w:p>
        </w:tc>
        <w:tc>
          <w:tcPr>
            <w:tcW w:type="dxa" w:w="6500"/>
            <w:shd w:fill="FFFFFF" w:val="clear"/>
            <w:tcMar>
              <w:top w:type="dxa" w:w="100"/>
              <w:left w:type="dxa" w:w="120"/>
              <w:bottom w:type="dxa" w:w="100"/>
              <w:right w:type="dxa" w:w="120"/>
            </w:tcMar>
            <w:vAlign w:val="center"/>
          </w:tcPr>
          <w:p>
            <w:r>
              <w:rPr>
                <w:rFonts w:ascii="Arial" w:cs="Arial" w:eastAsia="Arial" w:hAnsi="Arial"/>
                <w:sz w:val="20"/>
                <w:szCs w:val="20"/>
              </w:rPr>
              <w:t xml:space="preserve">Section 26 of the Counter-Terrorism and Security Act 2015; the Home Office’s Prevent Duty Guidance for England and Wales (in force from 31 December 2023); the Home Office’s Notice, Check, Share guidance (August 2026); and the DfE’s statutory guidance Keeping Children Safe in Education 2026 (in force from 1 September 2026)</w:t>
            </w:r>
          </w:p>
        </w:tc>
      </w:tr>
    </w:tbl>
    <w:p>
      <w:r>
        <w:br w:type="page"/>
      </w:r>
    </w:p>
    <w:p>
      <w:pPr>
        <w:spacing w:after="100" w:before="200"/>
      </w:pPr>
      <w:r>
        <w:rPr>
          <w:rFonts w:ascii="Arial" w:cs="Arial" w:eastAsia="Arial" w:hAnsi="Arial"/>
          <w:b/>
          <w:bCs/>
          <w:color w:val="1A1A1A"/>
          <w:sz w:val="24"/>
          <w:szCs w:val="24"/>
        </w:rPr>
        <w:t xml:space="preserve">Key contacts</w:t>
      </w:r>
    </w:p>
    <w:p>
      <w:pPr>
        <w:spacing w:after="140"/>
      </w:pPr>
      <w:r>
        <w:rPr>
          <w:rFonts w:ascii="Arial" w:cs="Arial" w:eastAsia="Arial" w:hAnsi="Arial"/>
          <w:b/>
          <w:bCs/>
          <w:sz w:val="21"/>
          <w:szCs w:val="21"/>
        </w:rPr>
        <w:t xml:space="preserve">Prevent Single Point of Contact (SPOC): </w:t>
      </w:r>
      <w:r>
        <w:rPr>
          <w:rFonts w:ascii="Arial" w:cs="Arial" w:eastAsia="Arial" w:hAnsi="Arial"/>
          <w:sz w:val="21"/>
          <w:szCs w:val="21"/>
        </w:rPr>
        <w:t xml:space="preserve">Hannah Blunden (AHT/DSL)</w:t>
      </w:r>
    </w:p>
    <w:p>
      <w:pPr>
        <w:spacing w:after="140"/>
      </w:pPr>
      <w:r>
        <w:rPr>
          <w:rFonts w:ascii="Arial" w:cs="Arial" w:eastAsia="Arial" w:hAnsi="Arial"/>
          <w:b/>
          <w:bCs/>
          <w:sz w:val="21"/>
          <w:szCs w:val="21"/>
        </w:rPr>
        <w:t xml:space="preserve">Deputy Prevent SPOC: </w:t>
      </w:r>
      <w:r>
        <w:rPr>
          <w:rFonts w:ascii="Arial" w:cs="Arial" w:eastAsia="Arial" w:hAnsi="Arial"/>
          <w:sz w:val="21"/>
          <w:szCs w:val="21"/>
        </w:rPr>
        <w:t xml:space="preserve">Kevin Reynolds (Headteacher)</w:t>
      </w:r>
    </w:p>
    <w:p>
      <w:pPr>
        <w:spacing w:after="140"/>
      </w:pPr>
      <w:r>
        <w:rPr>
          <w:rFonts w:ascii="Arial" w:cs="Arial" w:eastAsia="Arial" w:hAnsi="Arial"/>
          <w:b/>
          <w:bCs/>
          <w:sz w:val="21"/>
          <w:szCs w:val="21"/>
        </w:rPr>
        <w:t xml:space="preserve">Chair of Governors: </w:t>
      </w:r>
      <w:r>
        <w:rPr>
          <w:rFonts w:ascii="Arial" w:cs="Arial" w:eastAsia="Arial" w:hAnsi="Arial"/>
          <w:sz w:val="21"/>
          <w:szCs w:val="21"/>
        </w:rPr>
        <w:t xml:space="preserve">Kristofer McGhee</w:t>
      </w:r>
    </w:p>
    <w:p>
      <w:pPr>
        <w:spacing w:after="140" w:before="280"/>
      </w:pPr>
      <w:r>
        <w:rPr>
          <w:rFonts w:ascii="Arial" w:cs="Arial" w:eastAsia="Arial" w:hAnsi="Arial"/>
          <w:b/>
          <w:bCs/>
          <w:color w:val="1C4126"/>
          <w:sz w:val="28"/>
          <w:szCs w:val="28"/>
        </w:rPr>
        <w:t xml:space="preserve">1. What is the Prevent duty?</w:t>
      </w:r>
    </w:p>
    <w:p>
      <w:pPr>
        <w:spacing w:after="140"/>
      </w:pPr>
      <w:r>
        <w:rPr>
          <w:rFonts w:ascii="Arial" w:cs="Arial" w:eastAsia="Arial" w:hAnsi="Arial"/>
          <w:sz w:val="21"/>
          <w:szCs w:val="21"/>
        </w:rPr>
        <w:t xml:space="preserve">The Prevent duty requires all schools to ‘have due regard to the need to prevent people being drawn into terrorism’, under section 26 of the Counter-Terrorism and Security Act 2015. The duty covers all types of extremism, whether political, religious or ideological.</w:t>
      </w:r>
    </w:p>
    <w:p>
      <w:pPr>
        <w:spacing w:after="140"/>
      </w:pPr>
      <w:r>
        <w:rPr>
          <w:rFonts w:ascii="Arial" w:cs="Arial" w:eastAsia="Arial" w:hAnsi="Arial"/>
          <w:b/>
          <w:bCs/>
          <w:sz w:val="21"/>
          <w:szCs w:val="21"/>
        </w:rPr>
        <w:t xml:space="preserve">What’s changed: </w:t>
      </w:r>
      <w:r>
        <w:rPr>
          <w:rFonts w:ascii="Arial" w:cs="Arial" w:eastAsia="Arial" w:hAnsi="Arial"/>
          <w:sz w:val="21"/>
          <w:szCs w:val="21"/>
        </w:rPr>
        <w:t xml:space="preserve">the Home Office’s Prevent Duty Guidance was updated and simplified into a single document covering all education settings (in force from 31 December 2023, replacing the separate schools and further/higher education versions). It introduces a new theme, ‘Reducing Permissive Environments’, addressing the ideological causes of terrorism, including online. There are no new legal duties for schools — the Prevent duty itself, and its place within our wider safeguarding responsibilities, is unchanged.</w:t>
      </w:r>
    </w:p>
    <w:p>
      <w:pPr>
        <w:spacing w:after="140"/>
      </w:pPr>
      <w:r>
        <w:rPr>
          <w:rFonts w:ascii="Arial" w:cs="Arial" w:eastAsia="Arial" w:hAnsi="Arial"/>
          <w:sz w:val="21"/>
          <w:szCs w:val="21"/>
        </w:rPr>
        <w:t xml:space="preserve">Terrorist groups often draw on extremist ideology, developed by extremist organisations. Some people who join terrorist groups have previously been members of extremist organisations and have been radicalised by them. The Government defines extremism in the Prevent strategy as: ‘vocal or active opposition to fundamental British values, including democracy, the rule of law, individual liberty and mutual respect and tolerance of different faiths and beliefs. We also include in our definition of extremism calls for the death of members of our armed forces.’</w:t>
      </w:r>
    </w:p>
    <w:p>
      <w:pPr>
        <w:spacing w:after="140"/>
      </w:pPr>
      <w:r>
        <w:rPr>
          <w:rFonts w:ascii="Arial" w:cs="Arial" w:eastAsia="Arial" w:hAnsi="Arial"/>
          <w:b/>
          <w:bCs/>
          <w:sz w:val="21"/>
          <w:szCs w:val="21"/>
        </w:rPr>
        <w:t xml:space="preserve">Key terms:</w:t>
      </w:r>
    </w:p>
    <w:p>
      <w:pPr>
        <w:pStyle w:val="ListParagraph"/>
        <w:numPr>
          <w:ilvl w:val="0"/>
          <w:numId w:val="1"/>
        </w:numPr>
        <w:spacing w:after="60"/>
      </w:pPr>
      <w:r>
        <w:rPr>
          <w:rFonts w:ascii="Arial" w:cs="Arial" w:eastAsia="Arial" w:hAnsi="Arial"/>
          <w:sz w:val="21"/>
          <w:szCs w:val="21"/>
        </w:rPr>
        <w:t xml:space="preserve">Extremism — vocal or active opposition to fundamental British values such as democracy, the rule of law and tolerance of different faiths and beliefs</w:t>
      </w:r>
    </w:p>
    <w:p>
      <w:pPr>
        <w:pStyle w:val="ListParagraph"/>
        <w:numPr>
          <w:ilvl w:val="0"/>
          <w:numId w:val="1"/>
        </w:numPr>
        <w:spacing w:after="60"/>
      </w:pPr>
      <w:r>
        <w:rPr>
          <w:rFonts w:ascii="Arial" w:cs="Arial" w:eastAsia="Arial" w:hAnsi="Arial"/>
          <w:sz w:val="21"/>
          <w:szCs w:val="21"/>
        </w:rPr>
        <w:t xml:space="preserve">Ideology — a set of beliefs</w:t>
      </w:r>
    </w:p>
    <w:p>
      <w:pPr>
        <w:pStyle w:val="ListParagraph"/>
        <w:numPr>
          <w:ilvl w:val="0"/>
          <w:numId w:val="1"/>
        </w:numPr>
        <w:spacing w:after="60"/>
      </w:pPr>
      <w:r>
        <w:rPr>
          <w:rFonts w:ascii="Arial" w:cs="Arial" w:eastAsia="Arial" w:hAnsi="Arial"/>
          <w:sz w:val="21"/>
          <w:szCs w:val="21"/>
        </w:rPr>
        <w:t xml:space="preserve">Terrorism — a violent action against people or property, designed to create fear and advance a political, religious or ideological cause</w:t>
      </w:r>
    </w:p>
    <w:p>
      <w:pPr>
        <w:pStyle w:val="ListParagraph"/>
        <w:numPr>
          <w:ilvl w:val="0"/>
          <w:numId w:val="1"/>
        </w:numPr>
        <w:spacing w:after="60"/>
      </w:pPr>
      <w:r>
        <w:rPr>
          <w:rFonts w:ascii="Arial" w:cs="Arial" w:eastAsia="Arial" w:hAnsi="Arial"/>
          <w:sz w:val="21"/>
          <w:szCs w:val="21"/>
        </w:rPr>
        <w:t xml:space="preserve">Radicalisation — the process by which a person comes to support extremism and terrorism</w:t>
      </w:r>
    </w:p>
    <w:p>
      <w:pPr>
        <w:spacing w:after="140" w:before="280"/>
      </w:pPr>
      <w:r>
        <w:rPr>
          <w:rFonts w:ascii="Arial" w:cs="Arial" w:eastAsia="Arial" w:hAnsi="Arial"/>
          <w:b/>
          <w:bCs/>
          <w:color w:val="1C4126"/>
          <w:sz w:val="28"/>
          <w:szCs w:val="28"/>
        </w:rPr>
        <w:t xml:space="preserve">2. What does the Prevent duty mean for Princess May Primary School?</w:t>
      </w:r>
    </w:p>
    <w:p>
      <w:pPr>
        <w:spacing w:after="140"/>
      </w:pPr>
      <w:r>
        <w:rPr>
          <w:rFonts w:ascii="Arial" w:cs="Arial" w:eastAsia="Arial" w:hAnsi="Arial"/>
          <w:sz w:val="21"/>
          <w:szCs w:val="21"/>
        </w:rPr>
        <w:t xml:space="preserve">We acknowledge that protecting our pupils from radicalisation and extremist narratives is a safeguarding issue. The school recognises that it has a duty of care towards its pupils and that safeguarding against radicalisation and extremism is one of those duties. Exposure of children to extremist ideology can hinder their social development and educational attainment, alongside posing a very real risk that they could support or partake in an act of violence.</w:t>
      </w:r>
    </w:p>
    <w:p>
      <w:pPr>
        <w:spacing w:after="140"/>
      </w:pPr>
      <w:r>
        <w:rPr>
          <w:rFonts w:ascii="Arial" w:cs="Arial" w:eastAsia="Arial" w:hAnsi="Arial"/>
          <w:sz w:val="21"/>
          <w:szCs w:val="21"/>
        </w:rPr>
        <w:t xml:space="preserve">As well as protecting our pupils from the risk of radicalisation, as part of our wider safeguarding duties we have a duty to promote their spiritual, moral, social and cultural development.</w:t>
      </w:r>
    </w:p>
    <w:p>
      <w:pPr>
        <w:spacing w:after="140" w:before="280"/>
      </w:pPr>
      <w:r>
        <w:rPr>
          <w:rFonts w:ascii="Arial" w:cs="Arial" w:eastAsia="Arial" w:hAnsi="Arial"/>
          <w:b/>
          <w:bCs/>
          <w:color w:val="1C4126"/>
          <w:sz w:val="28"/>
          <w:szCs w:val="28"/>
        </w:rPr>
        <w:t xml:space="preserve">3. How will we achieve this?</w:t>
      </w:r>
    </w:p>
    <w:p>
      <w:pPr>
        <w:spacing w:after="140"/>
      </w:pPr>
      <w:r>
        <w:rPr>
          <w:rFonts w:ascii="Arial" w:cs="Arial" w:eastAsia="Arial" w:hAnsi="Arial"/>
          <w:sz w:val="21"/>
          <w:szCs w:val="21"/>
        </w:rPr>
        <w:t xml:space="preserve">To do this, we will:</w:t>
      </w:r>
    </w:p>
    <w:p>
      <w:pPr>
        <w:pStyle w:val="ListParagraph"/>
        <w:numPr>
          <w:ilvl w:val="0"/>
          <w:numId w:val="1"/>
        </w:numPr>
        <w:spacing w:after="60"/>
      </w:pPr>
      <w:r>
        <w:rPr>
          <w:rFonts w:ascii="Arial" w:cs="Arial" w:eastAsia="Arial" w:hAnsi="Arial"/>
          <w:sz w:val="21"/>
          <w:szCs w:val="21"/>
        </w:rPr>
        <w:t xml:space="preserve">Promote the spiritual, moral, cultural, mental and physical development of our pupils. As part of this, we will promote the fundamental British values of democracy, the rule of law, individual liberty, and mutual respect and tolerance of those with different faiths and beliefs</w:t>
      </w:r>
    </w:p>
    <w:p>
      <w:pPr>
        <w:pStyle w:val="ListParagraph"/>
        <w:numPr>
          <w:ilvl w:val="0"/>
          <w:numId w:val="1"/>
        </w:numPr>
        <w:spacing w:after="60"/>
      </w:pPr>
      <w:r>
        <w:rPr>
          <w:rFonts w:ascii="Arial" w:cs="Arial" w:eastAsia="Arial" w:hAnsi="Arial"/>
          <w:sz w:val="21"/>
          <w:szCs w:val="21"/>
        </w:rPr>
        <w:t xml:space="preserve">Promote fundamental British values through our school curriculum</w:t>
      </w:r>
    </w:p>
    <w:p>
      <w:pPr>
        <w:pStyle w:val="ListParagraph"/>
        <w:numPr>
          <w:ilvl w:val="0"/>
          <w:numId w:val="1"/>
        </w:numPr>
        <w:spacing w:after="60"/>
      </w:pPr>
      <w:r>
        <w:rPr>
          <w:rFonts w:ascii="Arial" w:cs="Arial" w:eastAsia="Arial" w:hAnsi="Arial"/>
          <w:sz w:val="21"/>
          <w:szCs w:val="21"/>
        </w:rPr>
        <w:t xml:space="preserve">Make sure our school is a safe space for pupils to discuss sensitive topics, including terrorism and extremism</w:t>
      </w:r>
    </w:p>
    <w:p>
      <w:pPr>
        <w:pStyle w:val="ListParagraph"/>
        <w:numPr>
          <w:ilvl w:val="0"/>
          <w:numId w:val="1"/>
        </w:numPr>
        <w:spacing w:after="60"/>
      </w:pPr>
      <w:r>
        <w:rPr>
          <w:rFonts w:ascii="Arial" w:cs="Arial" w:eastAsia="Arial" w:hAnsi="Arial"/>
          <w:sz w:val="21"/>
          <w:szCs w:val="21"/>
        </w:rPr>
        <w:t xml:space="preserve">Prepare our pupils for the opportunities, responsibilities and experiences of life</w:t>
      </w:r>
    </w:p>
    <w:p>
      <w:pPr>
        <w:pStyle w:val="ListParagraph"/>
        <w:numPr>
          <w:ilvl w:val="0"/>
          <w:numId w:val="1"/>
        </w:numPr>
        <w:spacing w:after="60"/>
      </w:pPr>
      <w:r>
        <w:rPr>
          <w:rFonts w:ascii="Arial" w:cs="Arial" w:eastAsia="Arial" w:hAnsi="Arial"/>
          <w:sz w:val="21"/>
          <w:szCs w:val="21"/>
        </w:rPr>
        <w:t xml:space="preserve">Promote community cohesion through the teaching of fundamental British values in our curriculum, developing responsible young citizens who are respectful in their words and actions towards others — see also our Behaviour Policy and Anti-Bullying Policy</w:t>
      </w:r>
    </w:p>
    <w:p>
      <w:pPr>
        <w:pStyle w:val="ListParagraph"/>
        <w:numPr>
          <w:ilvl w:val="0"/>
          <w:numId w:val="1"/>
        </w:numPr>
        <w:spacing w:after="60"/>
      </w:pPr>
      <w:r>
        <w:rPr>
          <w:rFonts w:ascii="Arial" w:cs="Arial" w:eastAsia="Arial" w:hAnsi="Arial"/>
          <w:sz w:val="21"/>
          <w:szCs w:val="21"/>
        </w:rPr>
        <w:t xml:space="preserve">Ensure we have robust safeguarding procedures to identify children at risk</w:t>
      </w:r>
    </w:p>
    <w:p>
      <w:pPr>
        <w:pStyle w:val="ListParagraph"/>
        <w:numPr>
          <w:ilvl w:val="0"/>
          <w:numId w:val="1"/>
        </w:numPr>
        <w:spacing w:after="60"/>
      </w:pPr>
      <w:r>
        <w:rPr>
          <w:rFonts w:ascii="Arial" w:cs="Arial" w:eastAsia="Arial" w:hAnsi="Arial"/>
          <w:sz w:val="21"/>
          <w:szCs w:val="21"/>
        </w:rPr>
        <w:t xml:space="preserve">Engage with our local authority’s risk assessment to determine the potential risk of individuals being drawn into terrorism in our local area</w:t>
      </w:r>
    </w:p>
    <w:p>
      <w:pPr>
        <w:pStyle w:val="ListParagraph"/>
        <w:numPr>
          <w:ilvl w:val="0"/>
          <w:numId w:val="1"/>
        </w:numPr>
        <w:spacing w:after="60"/>
      </w:pPr>
      <w:r>
        <w:rPr>
          <w:rFonts w:ascii="Arial" w:cs="Arial" w:eastAsia="Arial" w:hAnsi="Arial"/>
          <w:sz w:val="21"/>
          <w:szCs w:val="21"/>
        </w:rPr>
        <w:t xml:space="preserve">Be mindful of the risk of children being exposed to extremist material online, addressing this as part of the ‘Reducing Permissive Environments’ theme in the updated Prevent Duty Guidance — including appropriate filtering and monitoring systems, reviewed at least annually as set out in our Online Safety Policy</w:t>
      </w:r>
    </w:p>
    <w:p>
      <w:pPr>
        <w:pStyle w:val="ListParagraph"/>
        <w:numPr>
          <w:ilvl w:val="0"/>
          <w:numId w:val="1"/>
        </w:numPr>
        <w:spacing w:after="60"/>
      </w:pPr>
      <w:r>
        <w:rPr>
          <w:rFonts w:ascii="Arial" w:cs="Arial" w:eastAsia="Arial" w:hAnsi="Arial"/>
          <w:sz w:val="21"/>
          <w:szCs w:val="21"/>
        </w:rPr>
        <w:t xml:space="preserve">Ensure that our Online Safety Policy is known to all staff and pupils, and that the computing curriculum incorporates a unit of study on online safety</w:t>
      </w:r>
    </w:p>
    <w:p>
      <w:pPr>
        <w:pStyle w:val="ListParagraph"/>
        <w:numPr>
          <w:ilvl w:val="0"/>
          <w:numId w:val="1"/>
        </w:numPr>
        <w:spacing w:after="60"/>
      </w:pPr>
      <w:r>
        <w:rPr>
          <w:rFonts w:ascii="Arial" w:cs="Arial" w:eastAsia="Arial" w:hAnsi="Arial"/>
          <w:sz w:val="21"/>
          <w:szCs w:val="21"/>
        </w:rPr>
        <w:t xml:space="preserve">Make sure our DSL has Prevent awareness training</w:t>
      </w:r>
    </w:p>
    <w:p>
      <w:pPr>
        <w:pStyle w:val="ListParagraph"/>
        <w:numPr>
          <w:ilvl w:val="0"/>
          <w:numId w:val="1"/>
        </w:numPr>
        <w:spacing w:after="60"/>
      </w:pPr>
      <w:r>
        <w:rPr>
          <w:rFonts w:ascii="Arial" w:cs="Arial" w:eastAsia="Arial" w:hAnsi="Arial"/>
          <w:sz w:val="21"/>
          <w:szCs w:val="21"/>
        </w:rPr>
        <w:t xml:space="preserve">Make sure school staff receive training to help them identify pupils at risk, challenge extremist ideas, and know how to act on a concern, including the current Notice, Check, Share process (see section 5)</w:t>
      </w:r>
    </w:p>
    <w:p>
      <w:pPr>
        <w:pStyle w:val="ListParagraph"/>
        <w:numPr>
          <w:ilvl w:val="0"/>
          <w:numId w:val="1"/>
        </w:numPr>
        <w:spacing w:after="60"/>
      </w:pPr>
      <w:r>
        <w:rPr>
          <w:rFonts w:ascii="Arial" w:cs="Arial" w:eastAsia="Arial" w:hAnsi="Arial"/>
          <w:sz w:val="21"/>
          <w:szCs w:val="21"/>
        </w:rPr>
        <w:t xml:space="preserve">Refer to Hackney Education’s Prevent guidance and resources</w:t>
      </w:r>
    </w:p>
    <w:p>
      <w:pPr>
        <w:spacing w:after="140" w:before="280"/>
      </w:pPr>
      <w:r>
        <w:rPr>
          <w:rFonts w:ascii="Arial" w:cs="Arial" w:eastAsia="Arial" w:hAnsi="Arial"/>
          <w:b/>
          <w:bCs/>
          <w:color w:val="1C4126"/>
          <w:sz w:val="28"/>
          <w:szCs w:val="28"/>
        </w:rPr>
        <w:t xml:space="preserve">4. A safe space for all</w:t>
      </w:r>
    </w:p>
    <w:p>
      <w:pPr>
        <w:spacing w:after="140"/>
      </w:pPr>
      <w:r>
        <w:rPr>
          <w:rFonts w:ascii="Arial" w:cs="Arial" w:eastAsia="Arial" w:hAnsi="Arial"/>
          <w:sz w:val="21"/>
          <w:szCs w:val="21"/>
        </w:rPr>
        <w:t xml:space="preserve">At Princess May Primary School, we have a zero-tolerance acceptance of extremist behaviour and ensure that our curriculum, care and guidance empower young people to reject violent or extremist behaviour. It is our responsibility to prevent pupils from being drawn into terrorism, to make sure that our school is a place where pupils can understand and discuss sensitive and controversial topics such as terrorism and extremist ideas, and learn how to challenge them.</w:t>
      </w:r>
    </w:p>
    <w:p>
      <w:pPr>
        <w:spacing w:after="100" w:before="200"/>
      </w:pPr>
      <w:r>
        <w:rPr>
          <w:rFonts w:ascii="Arial" w:cs="Arial" w:eastAsia="Arial" w:hAnsi="Arial"/>
          <w:b/>
          <w:bCs/>
          <w:color w:val="1A1A1A"/>
          <w:sz w:val="24"/>
          <w:szCs w:val="24"/>
        </w:rPr>
        <w:t xml:space="preserve">Building pupils’ resilience to radicalisation at Princess May</w:t>
      </w:r>
    </w:p>
    <w:p>
      <w:pPr>
        <w:spacing w:after="140"/>
      </w:pPr>
      <w:r>
        <w:rPr>
          <w:rFonts w:ascii="Arial" w:cs="Arial" w:eastAsia="Arial" w:hAnsi="Arial"/>
          <w:sz w:val="21"/>
          <w:szCs w:val="21"/>
        </w:rPr>
        <w:t xml:space="preserve">Our curriculum actively promotes British values, including democracy, the rule of law, individual liberty and mutual respect and tolerance of different faiths and beliefs, through our PSHE curriculum, RE, the Behaviour Policy, assemblies, and specific projects (for example, on democracy). Our school council models democracy in action, and children are encouraged to be active citizens through activities such as being Anti-Bullying Ambassadors or Eco Leaders.</w:t>
      </w:r>
    </w:p>
    <w:p>
      <w:pPr>
        <w:spacing w:after="140"/>
      </w:pPr>
      <w:r>
        <w:rPr>
          <w:rFonts w:ascii="Arial" w:cs="Arial" w:eastAsia="Arial" w:hAnsi="Arial"/>
          <w:sz w:val="21"/>
          <w:szCs w:val="21"/>
        </w:rPr>
        <w:t xml:space="preserve">Through the Statutory Framework for the Early Years Foundation Stage, our EYFS staff promote British values in an age-appropriate way, helping children learn right from wrong, mix and share with other children, value others’ views, understand similarities and differences between themselves and others, and challenge negative attitudes and stereotypes.</w:t>
      </w:r>
    </w:p>
    <w:p>
      <w:pPr>
        <w:pStyle w:val="ListParagraph"/>
        <w:numPr>
          <w:ilvl w:val="0"/>
          <w:numId w:val="1"/>
        </w:numPr>
        <w:spacing w:after="60"/>
      </w:pPr>
      <w:r>
        <w:rPr>
          <w:rFonts w:ascii="Arial" w:cs="Arial" w:eastAsia="Arial" w:hAnsi="Arial"/>
          <w:sz w:val="21"/>
          <w:szCs w:val="21"/>
        </w:rPr>
        <w:t xml:space="preserve">The school seeks to promote tolerance and understanding of others within the school and the wider community (see our Equality Policy)</w:t>
      </w:r>
    </w:p>
    <w:p>
      <w:pPr>
        <w:pStyle w:val="ListParagraph"/>
        <w:numPr>
          <w:ilvl w:val="0"/>
          <w:numId w:val="1"/>
        </w:numPr>
        <w:spacing w:after="60"/>
      </w:pPr>
      <w:r>
        <w:rPr>
          <w:rFonts w:ascii="Arial" w:cs="Arial" w:eastAsia="Arial" w:hAnsi="Arial"/>
          <w:sz w:val="21"/>
          <w:szCs w:val="21"/>
        </w:rPr>
        <w:t xml:space="preserve">We aim to increase the resilience of our pupils and of our school community by helping pupils acquire skills and knowledge to challenge extremist views, and by promoting an ethos and values that respect others</w:t>
      </w:r>
    </w:p>
    <w:p>
      <w:pPr>
        <w:pStyle w:val="ListParagraph"/>
        <w:numPr>
          <w:ilvl w:val="0"/>
          <w:numId w:val="1"/>
        </w:numPr>
        <w:spacing w:after="60"/>
      </w:pPr>
      <w:r>
        <w:rPr>
          <w:rFonts w:ascii="Arial" w:cs="Arial" w:eastAsia="Arial" w:hAnsi="Arial"/>
          <w:sz w:val="21"/>
          <w:szCs w:val="21"/>
        </w:rPr>
        <w:t xml:space="preserve">We understand how an extremist narrative which can lead to harm can be challenged by staff in schools, and we model how diverse views can be heard, analysed and challenged in a way which values freedom of speech and freedom from harm</w:t>
      </w:r>
    </w:p>
    <w:p>
      <w:pPr>
        <w:pStyle w:val="ListParagraph"/>
        <w:numPr>
          <w:ilvl w:val="0"/>
          <w:numId w:val="1"/>
        </w:numPr>
        <w:spacing w:after="60"/>
      </w:pPr>
      <w:r>
        <w:rPr>
          <w:rFonts w:ascii="Arial" w:cs="Arial" w:eastAsia="Arial" w:hAnsi="Arial"/>
          <w:sz w:val="21"/>
          <w:szCs w:val="21"/>
        </w:rPr>
        <w:t xml:space="preserve">Through our PSHE curriculum we equip pupils to think critically and make reasoned arguments, and teach them about topics such as democracy and the need for mutual respect</w:t>
      </w:r>
    </w:p>
    <w:p>
      <w:pPr>
        <w:spacing w:after="140" w:before="280"/>
      </w:pPr>
      <w:r>
        <w:rPr>
          <w:rFonts w:ascii="Arial" w:cs="Arial" w:eastAsia="Arial" w:hAnsi="Arial"/>
          <w:b/>
          <w:bCs/>
          <w:color w:val="1C4126"/>
          <w:sz w:val="28"/>
          <w:szCs w:val="28"/>
        </w:rPr>
        <w:t xml:space="preserve">5. What are the procedures for school staff if they have a concern?</w:t>
      </w:r>
    </w:p>
    <w:p>
      <w:pPr>
        <w:spacing w:after="140"/>
      </w:pPr>
      <w:r>
        <w:rPr>
          <w:rFonts w:ascii="Arial" w:cs="Arial" w:eastAsia="Arial" w:hAnsi="Arial"/>
          <w:sz w:val="21"/>
          <w:szCs w:val="21"/>
        </w:rPr>
        <w:t xml:space="preserve">Staff are required to protect pupils from the risk of radicalisation as part of our wider safeguarding duties. All staff are aware that radicalisation is a safeguarding issue that can put children at risk of harm, as set out in Keeping Children Safe in Education 2026.</w:t>
      </w:r>
    </w:p>
    <w:p>
      <w:pPr>
        <w:spacing w:after="140"/>
      </w:pPr>
      <w:r>
        <w:rPr>
          <w:rFonts w:ascii="Arial" w:cs="Arial" w:eastAsia="Arial" w:hAnsi="Arial"/>
          <w:b/>
          <w:bCs/>
          <w:sz w:val="21"/>
          <w:szCs w:val="21"/>
        </w:rPr>
        <w:t xml:space="preserve">The Home Office’s current process is Notice, Check, Share:</w:t>
      </w:r>
    </w:p>
    <w:p>
      <w:pPr>
        <w:pStyle w:val="ListParagraph"/>
        <w:numPr>
          <w:ilvl w:val="0"/>
          <w:numId w:val="1"/>
        </w:numPr>
        <w:spacing w:after="60"/>
      </w:pPr>
      <w:r>
        <w:rPr>
          <w:rFonts w:ascii="Arial" w:cs="Arial" w:eastAsia="Arial" w:hAnsi="Arial"/>
          <w:sz w:val="21"/>
          <w:szCs w:val="21"/>
        </w:rPr>
        <w:t xml:space="preserve">Notice — be alert to signs that a pupil may be at risk of radicalisation or already exposed to extremist narratives</w:t>
      </w:r>
    </w:p>
    <w:p>
      <w:pPr>
        <w:pStyle w:val="ListParagraph"/>
        <w:numPr>
          <w:ilvl w:val="0"/>
          <w:numId w:val="1"/>
        </w:numPr>
        <w:spacing w:after="60"/>
      </w:pPr>
      <w:r>
        <w:rPr>
          <w:rFonts w:ascii="Arial" w:cs="Arial" w:eastAsia="Arial" w:hAnsi="Arial"/>
          <w:sz w:val="21"/>
          <w:szCs w:val="21"/>
        </w:rPr>
        <w:t xml:space="preserve">Check — raise the concern with the DSL (Hannah Blunden) or Deputy Prevent SPOC (Kevin Reynolds) the same day. They will gather the relevant information available</w:t>
      </w:r>
    </w:p>
    <w:p>
      <w:pPr>
        <w:pStyle w:val="ListParagraph"/>
        <w:numPr>
          <w:ilvl w:val="0"/>
          <w:numId w:val="1"/>
        </w:numPr>
        <w:spacing w:after="60"/>
      </w:pPr>
      <w:r>
        <w:rPr>
          <w:rFonts w:ascii="Arial" w:cs="Arial" w:eastAsia="Arial" w:hAnsi="Arial"/>
          <w:sz w:val="21"/>
          <w:szCs w:val="21"/>
        </w:rPr>
        <w:t xml:space="preserve">Share — where there is a concern that someone is at risk of being drawn into terrorism, the DSL will make a referral to Hackney Prevent using the current National Prevent Referral Form (NRF)</w:t>
      </w:r>
    </w:p>
    <w:p>
      <w:pPr>
        <w:spacing w:after="140"/>
      </w:pPr>
      <w:r>
        <w:rPr>
          <w:rFonts w:ascii="Arial" w:cs="Arial" w:eastAsia="Arial" w:hAnsi="Arial"/>
          <w:sz w:val="21"/>
          <w:szCs w:val="21"/>
        </w:rPr>
        <w:t xml:space="preserve">This is not a criminal sanction — a referral may provide an opportunity to divert a person away from terrorism and towards support, including through the Channel programme where appropriate.</w:t>
      </w:r>
    </w:p>
    <w:p>
      <w:pPr>
        <w:spacing w:after="140"/>
      </w:pPr>
      <w:r>
        <w:rPr>
          <w:rFonts w:ascii="Arial" w:cs="Arial" w:eastAsia="Arial" w:hAnsi="Arial"/>
          <w:b/>
          <w:bCs/>
          <w:sz w:val="21"/>
          <w:szCs w:val="21"/>
        </w:rPr>
        <w:t xml:space="preserve">Remember: we ALL have a duty of care, and if in doubt, you can refer. </w:t>
      </w:r>
      <w:r>
        <w:rPr>
          <w:rFonts w:ascii="Arial" w:cs="Arial" w:eastAsia="Arial" w:hAnsi="Arial"/>
          <w:sz w:val="21"/>
          <w:szCs w:val="21"/>
        </w:rPr>
        <w:t xml:space="preserve">A well-intentioned, properly documented referral made in good faith is always the right thing to do — you are not expected to be certain.</w:t>
      </w:r>
    </w:p>
    <w:p>
      <w:pPr>
        <w:spacing w:after="140" w:before="280"/>
      </w:pPr>
      <w:r>
        <w:rPr>
          <w:rFonts w:ascii="Arial" w:cs="Arial" w:eastAsia="Arial" w:hAnsi="Arial"/>
          <w:b/>
          <w:bCs/>
          <w:color w:val="1C4126"/>
          <w:sz w:val="28"/>
          <w:szCs w:val="28"/>
        </w:rPr>
        <w:t xml:space="preserve">6. The role of the school Governing Body</w:t>
      </w:r>
    </w:p>
    <w:p>
      <w:pPr>
        <w:spacing w:after="140"/>
      </w:pPr>
      <w:r>
        <w:rPr>
          <w:rFonts w:ascii="Arial" w:cs="Arial" w:eastAsia="Arial" w:hAnsi="Arial"/>
          <w:sz w:val="21"/>
          <w:szCs w:val="21"/>
        </w:rPr>
        <w:t xml:space="preserve">School Governors are responsible for ensuring Prevent issues are being addressed through the curriculum and that the Safeguarding and Child Protection Policy reflects vulnerability to radicalisation. The school will report on these to the Governing Body and the lead Governor for Safeguarding.</w:t>
      </w:r>
    </w:p>
    <w:p>
      <w:pPr>
        <w:spacing w:after="140"/>
      </w:pPr>
      <w:r>
        <w:rPr>
          <w:rFonts w:ascii="Arial" w:cs="Arial" w:eastAsia="Arial" w:hAnsi="Arial"/>
          <w:i/>
          <w:iCs/>
          <w:sz w:val="21"/>
          <w:szCs w:val="21"/>
        </w:rPr>
        <w:t xml:space="preserve">If you have any questions or concerns about the Prevent duty and what it means for your child at Princess May, please do not hesitate to contact the school and ask to speak to the Assistant Headteacher/DSL.</w:t>
      </w:r>
    </w:p>
    <w:sectPr>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20" w:hanging="2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 Id="rId9"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2026-09-07T15:40:18.008Z</dcterms:created>
  <dcterms:modified xsi:type="dcterms:W3CDTF">2026-09-07T15:40:18.018Z</dcterms:modified>
</cp:coreProperties>
</file>

<file path=docProps/custom.xml><?xml version="1.0" encoding="utf-8"?>
<Properties xmlns="http://schemas.openxmlformats.org/officeDocument/2006/custom-properties" xmlns:vt="http://schemas.openxmlformats.org/officeDocument/2006/docPropsVTypes"/>
</file>